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1529"/>
      </w:tblGrid>
      <w:tr w:rsidR="006F1C72" w:rsidTr="008C1DCB">
        <w:trPr>
          <w:cantSplit/>
          <w:trHeight w:val="16156"/>
        </w:trPr>
        <w:tc>
          <w:tcPr>
            <w:tcW w:w="1529" w:type="dxa"/>
            <w:shd w:val="clear" w:color="auto" w:fill="A6A6A6" w:themeFill="background1" w:themeFillShade="A6"/>
            <w:textDirection w:val="btLr"/>
          </w:tcPr>
          <w:p w:rsidR="006F1C72" w:rsidRPr="006F1C72" w:rsidRDefault="00C30EF2" w:rsidP="00D57B80">
            <w:pPr>
              <w:ind w:left="113" w:right="113"/>
              <w:rPr>
                <w:rFonts w:ascii="Segoe UI" w:hAnsi="Segoe UI" w:cs="Segoe UI"/>
                <w:color w:val="FFFFFF" w:themeColor="background1"/>
                <w:spacing w:val="60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-21378</wp:posOffset>
                  </wp:positionH>
                  <wp:positionV relativeFrom="paragraph">
                    <wp:posOffset>10404898</wp:posOffset>
                  </wp:positionV>
                  <wp:extent cx="840317" cy="266700"/>
                  <wp:effectExtent l="19050" t="0" r="0" b="0"/>
                  <wp:wrapNone/>
                  <wp:docPr id="1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17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10498032</wp:posOffset>
                  </wp:positionV>
                  <wp:extent cx="840317" cy="266700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17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22"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18819</wp:posOffset>
                  </wp:positionH>
                  <wp:positionV relativeFrom="paragraph">
                    <wp:posOffset>10274704</wp:posOffset>
                  </wp:positionV>
                  <wp:extent cx="802987" cy="281709"/>
                  <wp:effectExtent l="19050" t="0" r="0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87" cy="28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22"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10255885</wp:posOffset>
                  </wp:positionV>
                  <wp:extent cx="802640" cy="281305"/>
                  <wp:effectExtent l="1905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22"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10358120</wp:posOffset>
                  </wp:positionV>
                  <wp:extent cx="806450" cy="279400"/>
                  <wp:effectExtent l="19050" t="0" r="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C72"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20743</wp:posOffset>
                  </wp:positionH>
                  <wp:positionV relativeFrom="paragraph">
                    <wp:posOffset>676910</wp:posOffset>
                  </wp:positionV>
                  <wp:extent cx="806450" cy="279400"/>
                  <wp:effectExtent l="1905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C72">
              <w:rPr>
                <w:rFonts w:ascii="Segoe UI" w:hAnsi="Segoe UI" w:cs="Segoe UI"/>
              </w:rPr>
              <w:t xml:space="preserve">   </w:t>
            </w:r>
            <w:r w:rsidR="00D57B80">
              <w:rPr>
                <w:rFonts w:ascii="Segoe UI" w:hAnsi="Segoe UI" w:cs="Segoe UI"/>
              </w:rPr>
              <w:t xml:space="preserve"> </w:t>
            </w:r>
            <w:r w:rsidRPr="00C30EF2">
              <w:rPr>
                <w:rFonts w:ascii="Segoe UI" w:hAnsi="Segoe UI" w:cs="Segoe UI"/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-13123</wp:posOffset>
                  </wp:positionH>
                  <wp:positionV relativeFrom="paragraph">
                    <wp:posOffset>10392198</wp:posOffset>
                  </wp:positionV>
                  <wp:extent cx="840316" cy="266700"/>
                  <wp:effectExtent l="19050" t="0" r="0" b="0"/>
                  <wp:wrapNone/>
                  <wp:docPr id="1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1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B80">
              <w:rPr>
                <w:rFonts w:ascii="Segoe UI" w:hAnsi="Segoe UI" w:cs="Segoe UI"/>
              </w:rPr>
              <w:t xml:space="preserve">  </w:t>
            </w:r>
            <w:r w:rsidR="006F1C72">
              <w:rPr>
                <w:rFonts w:ascii="Segoe UI" w:hAnsi="Segoe UI" w:cs="Segoe UI"/>
              </w:rPr>
              <w:t xml:space="preserve">           </w:t>
            </w:r>
            <w:r w:rsidR="006F1C72" w:rsidRPr="006F1C72">
              <w:rPr>
                <w:rFonts w:ascii="Segoe UI" w:hAnsi="Segoe UI" w:cs="Segoe UI"/>
                <w:color w:val="FFFFFF" w:themeColor="background1"/>
                <w:spacing w:val="60"/>
                <w:sz w:val="96"/>
                <w:szCs w:val="96"/>
              </w:rPr>
              <w:t>Termék adatlap</w:t>
            </w:r>
          </w:p>
        </w:tc>
      </w:tr>
    </w:tbl>
    <w:p w:rsidR="008C1DCB" w:rsidRDefault="00F32A82" w:rsidP="008C1DCB">
      <w:pPr>
        <w:spacing w:before="2000"/>
        <w:jc w:val="right"/>
      </w:pPr>
      <w:r w:rsidRPr="00F32A82">
        <w:rPr>
          <w:noProof/>
          <w:lang w:eastAsia="hu-H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1693</wp:posOffset>
            </wp:positionV>
            <wp:extent cx="5083810" cy="1905000"/>
            <wp:effectExtent l="19050" t="0" r="2540" b="0"/>
            <wp:wrapNone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DCB" w:rsidRDefault="008C1DCB" w:rsidP="008C1DCB">
      <w:pPr>
        <w:jc w:val="right"/>
      </w:pPr>
    </w:p>
    <w:p w:rsidR="00884805" w:rsidRDefault="00F32A82" w:rsidP="008C1DCB">
      <w:pPr>
        <w:spacing w:before="6200"/>
        <w:jc w:val="right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583565</wp:posOffset>
            </wp:positionV>
            <wp:extent cx="4040505" cy="3111500"/>
            <wp:effectExtent l="19050" t="0" r="0" b="0"/>
            <wp:wrapNone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EC" w:rsidRDefault="00305A7C" w:rsidP="002E13A5">
      <w:pPr>
        <w:spacing w:before="3200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969857</wp:posOffset>
            </wp:positionH>
            <wp:positionV relativeFrom="paragraph">
              <wp:posOffset>577850</wp:posOffset>
            </wp:positionV>
            <wp:extent cx="497416" cy="694267"/>
            <wp:effectExtent l="19050" t="0" r="0" b="0"/>
            <wp:wrapNone/>
            <wp:docPr id="1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6" cy="69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82" w:rsidRDefault="001A2CC4" w:rsidP="00F32A82">
      <w:pPr>
        <w:spacing w:after="240"/>
        <w:jc w:val="right"/>
      </w:pPr>
      <w:r>
        <w:br w:type="column"/>
      </w:r>
    </w:p>
    <w:p w:rsidR="00F32A82" w:rsidRDefault="00F32A82" w:rsidP="00F32A82">
      <w:pPr>
        <w:autoSpaceDE w:val="0"/>
        <w:autoSpaceDN w:val="0"/>
        <w:adjustRightInd w:val="0"/>
        <w:spacing w:before="240"/>
        <w:ind w:left="709" w:firstLine="3827"/>
        <w:rPr>
          <w:rFonts w:ascii="Calibri Light" w:hAnsi="Calibri Light" w:cs="Calibri Light"/>
          <w:color w:val="FFFFFF" w:themeColor="background1"/>
        </w:rPr>
      </w:pPr>
    </w:p>
    <w:p w:rsidR="00F32A82" w:rsidRPr="00F32A82" w:rsidRDefault="00F32A82" w:rsidP="00F32A82">
      <w:pPr>
        <w:tabs>
          <w:tab w:val="left" w:pos="8931"/>
        </w:tabs>
        <w:autoSpaceDE w:val="0"/>
        <w:autoSpaceDN w:val="0"/>
        <w:adjustRightInd w:val="0"/>
        <w:spacing w:before="120"/>
        <w:ind w:left="709" w:right="561" w:hanging="709"/>
        <w:jc w:val="right"/>
        <w:rPr>
          <w:rFonts w:ascii="Calibri Light" w:hAnsi="Calibri Light" w:cs="Calibri Light"/>
          <w:color w:val="FFFFFF" w:themeColor="background1"/>
          <w:sz w:val="36"/>
          <w:szCs w:val="36"/>
        </w:rPr>
      </w:pPr>
      <w:r w:rsidRPr="00F32A82">
        <w:rPr>
          <w:rFonts w:ascii="Calibri Light" w:hAnsi="Calibri Light" w:cs="Calibri Light"/>
          <w:color w:val="FFFFFF" w:themeColor="background1"/>
          <w:sz w:val="36"/>
          <w:szCs w:val="36"/>
        </w:rPr>
        <w:t xml:space="preserve">Elektroncsöves </w:t>
      </w:r>
      <w:proofErr w:type="spellStart"/>
      <w:r w:rsidRPr="00F32A82">
        <w:rPr>
          <w:rFonts w:ascii="Calibri Light" w:hAnsi="Calibri Light" w:cs="Calibri Light"/>
          <w:color w:val="FFFFFF" w:themeColor="background1"/>
          <w:sz w:val="36"/>
          <w:szCs w:val="36"/>
        </w:rPr>
        <w:t>Bluetooth</w:t>
      </w:r>
      <w:proofErr w:type="spellEnd"/>
      <w:r w:rsidRPr="00F32A82">
        <w:rPr>
          <w:rFonts w:ascii="Calibri Light" w:hAnsi="Calibri Light" w:cs="Calibri Light"/>
          <w:color w:val="FFFFFF" w:themeColor="background1"/>
          <w:sz w:val="36"/>
          <w:szCs w:val="36"/>
        </w:rPr>
        <w:t xml:space="preserve"> vevőegység</w:t>
      </w:r>
    </w:p>
    <w:p w:rsidR="00F32A82" w:rsidRDefault="00F32A82" w:rsidP="00F32A82">
      <w:pPr>
        <w:spacing w:before="120" w:after="240"/>
        <w:jc w:val="center"/>
      </w:pPr>
    </w:p>
    <w:p w:rsidR="002E13A5" w:rsidRDefault="00F32A82" w:rsidP="004617E4">
      <w:pPr>
        <w:autoSpaceDE w:val="0"/>
        <w:autoSpaceDN w:val="0"/>
        <w:adjustRightInd w:val="0"/>
        <w:spacing w:before="5000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B67D85"/>
        </w:rPr>
        <w:t>A DIGITÁLIS AD</w:t>
      </w:r>
      <w:r w:rsidR="004617E4">
        <w:rPr>
          <w:rFonts w:ascii="Calibri Light" w:hAnsi="Calibri Light" w:cs="Calibri Light"/>
          <w:color w:val="B67D85"/>
        </w:rPr>
        <w:t>ATFOLYAMKEZELÉS MŰVÉ</w:t>
      </w:r>
      <w:r>
        <w:rPr>
          <w:rFonts w:ascii="Calibri Light" w:hAnsi="Calibri Light" w:cs="Calibri Light"/>
          <w:color w:val="B67D85"/>
        </w:rPr>
        <w:t>SZETE</w:t>
      </w:r>
    </w:p>
    <w:p w:rsidR="004617E4" w:rsidRDefault="00FA6032" w:rsidP="004617E4">
      <w:pPr>
        <w:autoSpaceDE w:val="0"/>
        <w:autoSpaceDN w:val="0"/>
        <w:adjustRightInd w:val="0"/>
        <w:ind w:right="565" w:firstLine="426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Nem volt egyszerű a megoldandó feladat: a cél az volt, hogy magát a zenét halljuk, mindenféle torzítás és elszíneződés nélkül. Semmiképp sem szerettünk volna digitális színezetű hangot hallani, inkább azt kerestük, hogy az analóg hanglemezek selymesen meleg, természetes hangzását kapjuk.</w:t>
      </w:r>
    </w:p>
    <w:p w:rsidR="004617E4" w:rsidRDefault="00FA6032" w:rsidP="004617E4">
      <w:pPr>
        <w:autoSpaceDE w:val="0"/>
        <w:autoSpaceDN w:val="0"/>
        <w:adjustRightInd w:val="0"/>
        <w:ind w:right="565"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>Úgy ítéltük meg, hogy ezt a célt csak több technológia és kapcsolástechnika ötvözésével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érhetjük el. Pontosan ezt tettük</w:t>
      </w:r>
      <w:r w:rsidR="004617E4">
        <w:rPr>
          <w:rFonts w:ascii="Arial" w:hAnsi="Arial" w:cs="Arial"/>
          <w:color w:val="231F20"/>
          <w:sz w:val="16"/>
          <w:szCs w:val="16"/>
        </w:rPr>
        <w:t>!</w:t>
      </w:r>
    </w:p>
    <w:p w:rsidR="004617E4" w:rsidRDefault="00FA6032" w:rsidP="004617E4">
      <w:pPr>
        <w:autoSpaceDE w:val="0"/>
        <w:autoSpaceDN w:val="0"/>
        <w:adjustRightInd w:val="0"/>
        <w:ind w:left="709" w:right="5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>Először is vettünk egy pár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4617E4">
        <w:rPr>
          <w:rFonts w:ascii="Arial" w:hAnsi="Arial" w:cs="Arial"/>
          <w:color w:val="231F20"/>
          <w:sz w:val="16"/>
          <w:szCs w:val="16"/>
        </w:rPr>
        <w:t>Raytheon</w:t>
      </w:r>
      <w:proofErr w:type="spellEnd"/>
      <w:r w:rsidR="004617E4">
        <w:rPr>
          <w:rFonts w:ascii="Arial" w:hAnsi="Arial" w:cs="Arial"/>
          <w:color w:val="231F20"/>
          <w:sz w:val="16"/>
          <w:szCs w:val="16"/>
        </w:rPr>
        <w:t xml:space="preserve"> 5703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szubminiatűr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elektroncsövet, az erősítő fokozatot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A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osztályú üzemmódra építettük meg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, </w:t>
      </w:r>
      <w:r>
        <w:rPr>
          <w:rFonts w:ascii="Arial" w:hAnsi="Arial" w:cs="Arial"/>
          <w:color w:val="231F20"/>
          <w:sz w:val="16"/>
          <w:szCs w:val="16"/>
        </w:rPr>
        <w:t>a digitális egység lelke egy hárommagos processzor, amely egy 32 bites, kétmagos,</w:t>
      </w:r>
      <w:r w:rsidR="00476DA3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valamint egy 120 MHz-es órajellel működő egymagos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procesz-szor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ötvözete. Ezt egészíti ki egy </w:t>
      </w:r>
      <w:proofErr w:type="spellStart"/>
      <w:r w:rsidR="004617E4">
        <w:rPr>
          <w:rFonts w:ascii="Arial" w:hAnsi="Arial" w:cs="Arial"/>
          <w:color w:val="231F20"/>
          <w:sz w:val="16"/>
          <w:szCs w:val="16"/>
        </w:rPr>
        <w:t>Wolfson</w:t>
      </w:r>
      <w:proofErr w:type="spellEnd"/>
      <w:r w:rsidR="004617E4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4617E4">
        <w:rPr>
          <w:rFonts w:ascii="Arial" w:hAnsi="Arial" w:cs="Arial"/>
          <w:color w:val="231F20"/>
          <w:sz w:val="16"/>
          <w:szCs w:val="16"/>
        </w:rPr>
        <w:t>WM8740</w:t>
      </w:r>
      <w:proofErr w:type="spellEnd"/>
      <w:r w:rsidR="004617E4">
        <w:rPr>
          <w:rFonts w:ascii="Arial" w:hAnsi="Arial" w:cs="Arial"/>
          <w:color w:val="231F20"/>
          <w:sz w:val="16"/>
          <w:szCs w:val="16"/>
        </w:rPr>
        <w:t>, 24</w:t>
      </w:r>
      <w:r>
        <w:rPr>
          <w:rFonts w:ascii="Arial" w:hAnsi="Arial" w:cs="Arial"/>
          <w:color w:val="231F20"/>
          <w:sz w:val="16"/>
          <w:szCs w:val="16"/>
        </w:rPr>
        <w:t xml:space="preserve"> bites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 / 192 kHz</w:t>
      </w:r>
      <w:r>
        <w:rPr>
          <w:rFonts w:ascii="Arial" w:hAnsi="Arial" w:cs="Arial"/>
          <w:color w:val="231F20"/>
          <w:sz w:val="16"/>
          <w:szCs w:val="16"/>
        </w:rPr>
        <w:t>-es digitális-analóg jel</w:t>
      </w:r>
      <w:r w:rsidR="00476DA3">
        <w:rPr>
          <w:rFonts w:ascii="Arial" w:hAnsi="Arial" w:cs="Arial"/>
          <w:color w:val="231F20"/>
          <w:sz w:val="16"/>
          <w:szCs w:val="16"/>
        </w:rPr>
        <w:t>-</w:t>
      </w:r>
      <w:r>
        <w:rPr>
          <w:rFonts w:ascii="Arial" w:hAnsi="Arial" w:cs="Arial"/>
          <w:color w:val="231F20"/>
          <w:sz w:val="16"/>
          <w:szCs w:val="16"/>
        </w:rPr>
        <w:t>átalakító lapka (DAC).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A digitális elektronika működtetéséhez egy nagyfelbontású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kodeket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165AAA">
        <w:rPr>
          <w:rFonts w:ascii="Arial" w:hAnsi="Arial" w:cs="Arial"/>
          <w:color w:val="231F20"/>
          <w:sz w:val="16"/>
          <w:szCs w:val="16"/>
        </w:rPr>
        <w:t>vá-</w:t>
      </w:r>
      <w:r>
        <w:rPr>
          <w:rFonts w:ascii="Arial" w:hAnsi="Arial" w:cs="Arial"/>
          <w:color w:val="231F20"/>
          <w:sz w:val="16"/>
          <w:szCs w:val="16"/>
        </w:rPr>
        <w:t>lasztottunk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 amely a zene leheletfinom részleteit is teljes élethűséggel képes reprodukálni.</w:t>
      </w:r>
    </w:p>
    <w:p w:rsidR="00476DA3" w:rsidRDefault="00EF5E8D" w:rsidP="004617E4">
      <w:pPr>
        <w:autoSpaceDE w:val="0"/>
        <w:autoSpaceDN w:val="0"/>
        <w:adjustRightInd w:val="0"/>
        <w:ind w:right="5242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noProof/>
          <w:color w:val="231F20"/>
          <w:sz w:val="16"/>
          <w:szCs w:val="16"/>
          <w:lang w:eastAsia="hu-H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320165</wp:posOffset>
            </wp:positionH>
            <wp:positionV relativeFrom="paragraph">
              <wp:posOffset>12064</wp:posOffset>
            </wp:positionV>
            <wp:extent cx="4413126" cy="3445933"/>
            <wp:effectExtent l="19050" t="0" r="6474" b="0"/>
            <wp:wrapNone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92" cy="344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A3">
        <w:rPr>
          <w:rFonts w:ascii="Arial" w:hAnsi="Arial" w:cs="Arial"/>
          <w:color w:val="231F20"/>
          <w:sz w:val="16"/>
          <w:szCs w:val="16"/>
        </w:rPr>
        <w:t xml:space="preserve">A mindezek eredményeként kapott hangzás lélegzetállítóan életszerű, maradéktalanul kielégíti az igényes </w:t>
      </w:r>
      <w:proofErr w:type="spellStart"/>
      <w:r w:rsidR="00476DA3">
        <w:rPr>
          <w:rFonts w:ascii="Arial" w:hAnsi="Arial" w:cs="Arial"/>
          <w:color w:val="231F20"/>
          <w:sz w:val="16"/>
          <w:szCs w:val="16"/>
        </w:rPr>
        <w:t>audiofilek</w:t>
      </w:r>
      <w:proofErr w:type="spellEnd"/>
      <w:r w:rsidR="00476DA3">
        <w:rPr>
          <w:rFonts w:ascii="Arial" w:hAnsi="Arial" w:cs="Arial"/>
          <w:color w:val="231F20"/>
          <w:sz w:val="16"/>
          <w:szCs w:val="16"/>
        </w:rPr>
        <w:t xml:space="preserve"> elvárásait is, az analóg lemezekért rajongók által olyan </w:t>
      </w:r>
      <w:proofErr w:type="spellStart"/>
      <w:r w:rsidR="00476DA3">
        <w:rPr>
          <w:rFonts w:ascii="Arial" w:hAnsi="Arial" w:cs="Arial"/>
          <w:color w:val="231F20"/>
          <w:sz w:val="16"/>
          <w:szCs w:val="16"/>
        </w:rPr>
        <w:t>nagy</w:t>
      </w:r>
      <w:r w:rsidR="00165AAA">
        <w:rPr>
          <w:rFonts w:ascii="Arial" w:hAnsi="Arial" w:cs="Arial"/>
          <w:color w:val="231F20"/>
          <w:sz w:val="16"/>
          <w:szCs w:val="16"/>
        </w:rPr>
        <w:t>-</w:t>
      </w:r>
      <w:r w:rsidR="00476DA3">
        <w:rPr>
          <w:rFonts w:ascii="Arial" w:hAnsi="Arial" w:cs="Arial"/>
          <w:color w:val="231F20"/>
          <w:sz w:val="16"/>
          <w:szCs w:val="16"/>
        </w:rPr>
        <w:t>ra</w:t>
      </w:r>
      <w:proofErr w:type="spellEnd"/>
      <w:r w:rsidR="00476DA3">
        <w:rPr>
          <w:rFonts w:ascii="Arial" w:hAnsi="Arial" w:cs="Arial"/>
          <w:color w:val="231F20"/>
          <w:sz w:val="16"/>
          <w:szCs w:val="16"/>
        </w:rPr>
        <w:t xml:space="preserve"> értékelt melegséget, </w:t>
      </w:r>
      <w:proofErr w:type="spellStart"/>
      <w:r w:rsidR="00476DA3">
        <w:rPr>
          <w:rFonts w:ascii="Arial" w:hAnsi="Arial" w:cs="Arial"/>
          <w:color w:val="231F20"/>
          <w:sz w:val="16"/>
          <w:szCs w:val="16"/>
        </w:rPr>
        <w:t>természetes</w:t>
      </w:r>
      <w:r w:rsidR="00165AAA">
        <w:rPr>
          <w:rFonts w:ascii="Arial" w:hAnsi="Arial" w:cs="Arial"/>
          <w:color w:val="231F20"/>
          <w:sz w:val="16"/>
          <w:szCs w:val="16"/>
        </w:rPr>
        <w:t>-</w:t>
      </w:r>
      <w:r w:rsidR="00476DA3">
        <w:rPr>
          <w:rFonts w:ascii="Arial" w:hAnsi="Arial" w:cs="Arial"/>
          <w:color w:val="231F20"/>
          <w:sz w:val="16"/>
          <w:szCs w:val="16"/>
        </w:rPr>
        <w:t>séget</w:t>
      </w:r>
      <w:proofErr w:type="spellEnd"/>
      <w:r w:rsidR="00476DA3">
        <w:rPr>
          <w:rFonts w:ascii="Arial" w:hAnsi="Arial" w:cs="Arial"/>
          <w:color w:val="231F20"/>
          <w:sz w:val="16"/>
          <w:szCs w:val="16"/>
        </w:rPr>
        <w:t xml:space="preserve"> sugározza.</w:t>
      </w:r>
    </w:p>
    <w:p w:rsidR="004617E4" w:rsidRDefault="00476DA3" w:rsidP="004617E4">
      <w:pPr>
        <w:autoSpaceDE w:val="0"/>
        <w:autoSpaceDN w:val="0"/>
        <w:adjustRightInd w:val="0"/>
        <w:ind w:right="5242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A WTX-TUBES a nagyfelbontású </w:t>
      </w:r>
      <w:r w:rsidR="004617E4">
        <w:rPr>
          <w:rFonts w:ascii="Arial" w:hAnsi="Arial" w:cs="Arial"/>
          <w:color w:val="231F20"/>
          <w:sz w:val="16"/>
          <w:szCs w:val="16"/>
        </w:rPr>
        <w:t xml:space="preserve">HD </w:t>
      </w:r>
      <w:r>
        <w:rPr>
          <w:rFonts w:ascii="Arial" w:hAnsi="Arial" w:cs="Arial"/>
          <w:color w:val="231F20"/>
          <w:sz w:val="16"/>
          <w:szCs w:val="16"/>
        </w:rPr>
        <w:t xml:space="preserve">fájlokat is kezelni tudja, a készülékbe épített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aptX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HD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nagyfelbontású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ko</w:t>
      </w:r>
      <w:r w:rsidR="00306F52">
        <w:rPr>
          <w:rFonts w:ascii="Arial" w:hAnsi="Arial" w:cs="Arial"/>
          <w:color w:val="231F20"/>
          <w:sz w:val="16"/>
          <w:szCs w:val="16"/>
        </w:rPr>
        <w:t>-</w:t>
      </w:r>
      <w:r>
        <w:rPr>
          <w:rFonts w:ascii="Arial" w:hAnsi="Arial" w:cs="Arial"/>
          <w:color w:val="231F20"/>
          <w:sz w:val="16"/>
          <w:szCs w:val="16"/>
        </w:rPr>
        <w:t>deknek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köszönhetően precízen és kie</w:t>
      </w:r>
      <w:r w:rsidR="00306F52">
        <w:rPr>
          <w:rFonts w:ascii="Arial" w:hAnsi="Arial" w:cs="Arial"/>
          <w:color w:val="231F20"/>
          <w:sz w:val="16"/>
          <w:szCs w:val="16"/>
        </w:rPr>
        <w:t>gyensúlyozottan szólalnak meg a</w:t>
      </w:r>
      <w:r>
        <w:rPr>
          <w:rFonts w:ascii="Arial" w:hAnsi="Arial" w:cs="Arial"/>
          <w:color w:val="231F20"/>
          <w:sz w:val="16"/>
          <w:szCs w:val="16"/>
        </w:rPr>
        <w:t xml:space="preserve">z ilyen </w:t>
      </w:r>
      <w:r w:rsidR="00306F52">
        <w:rPr>
          <w:rFonts w:ascii="Arial" w:hAnsi="Arial" w:cs="Arial"/>
          <w:color w:val="231F20"/>
          <w:sz w:val="16"/>
          <w:szCs w:val="16"/>
        </w:rPr>
        <w:t>formában rögzített felvételek.</w:t>
      </w:r>
    </w:p>
    <w:p w:rsidR="004617E4" w:rsidRDefault="00306F52" w:rsidP="004617E4">
      <w:pPr>
        <w:autoSpaceDE w:val="0"/>
        <w:autoSpaceDN w:val="0"/>
        <w:adjustRightInd w:val="0"/>
        <w:ind w:right="52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>Fedezze fel mihamarabb a készülék képességeit</w:t>
      </w:r>
      <w:r w:rsidR="004617E4">
        <w:rPr>
          <w:rFonts w:ascii="Arial" w:hAnsi="Arial" w:cs="Arial"/>
          <w:color w:val="231F20"/>
          <w:sz w:val="16"/>
          <w:szCs w:val="16"/>
        </w:rPr>
        <w:t>!</w:t>
      </w:r>
    </w:p>
    <w:p w:rsidR="004617E4" w:rsidRDefault="00306F52" w:rsidP="00EF5E8D">
      <w:pPr>
        <w:autoSpaceDE w:val="0"/>
        <w:autoSpaceDN w:val="0"/>
        <w:adjustRightInd w:val="0"/>
        <w:spacing w:before="1400"/>
        <w:ind w:left="3686" w:right="5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A </w:t>
      </w:r>
      <w:proofErr w:type="spellStart"/>
      <w:r w:rsidR="004617E4">
        <w:rPr>
          <w:rFonts w:ascii="Arial" w:hAnsi="Arial" w:cs="Arial"/>
          <w:b/>
          <w:bCs/>
          <w:color w:val="231F20"/>
          <w:sz w:val="12"/>
          <w:szCs w:val="12"/>
        </w:rPr>
        <w:t>Raythean</w:t>
      </w:r>
      <w:proofErr w:type="spellEnd"/>
      <w:r w:rsidR="004617E4">
        <w:rPr>
          <w:rFonts w:ascii="Arial" w:hAnsi="Arial" w:cs="Arial"/>
          <w:b/>
          <w:bCs/>
          <w:color w:val="231F20"/>
          <w:sz w:val="12"/>
          <w:szCs w:val="12"/>
        </w:rPr>
        <w:t xml:space="preserve"> 5703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szubminiatűr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csöveket egy megfelelően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rögzí</w:t>
      </w:r>
      <w:r w:rsidR="00EF5E8D">
        <w:rPr>
          <w:rFonts w:ascii="Arial" w:hAnsi="Arial" w:cs="Arial"/>
          <w:b/>
          <w:bCs/>
          <w:color w:val="231F20"/>
          <w:sz w:val="12"/>
          <w:szCs w:val="12"/>
        </w:rPr>
        <w:t>-</w:t>
      </w:r>
      <w:r>
        <w:rPr>
          <w:rFonts w:ascii="Arial" w:hAnsi="Arial" w:cs="Arial"/>
          <w:b/>
          <w:bCs/>
          <w:color w:val="231F20"/>
          <w:sz w:val="12"/>
          <w:szCs w:val="12"/>
        </w:rPr>
        <w:t>tett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>, jól szigetelt tartószerkezetbe építettük.</w:t>
      </w:r>
    </w:p>
    <w:p w:rsidR="00EF5E8D" w:rsidRDefault="004617E4" w:rsidP="008503D5">
      <w:pPr>
        <w:autoSpaceDE w:val="0"/>
        <w:autoSpaceDN w:val="0"/>
        <w:adjustRightInd w:val="0"/>
        <w:ind w:left="3686" w:right="565"/>
        <w:jc w:val="left"/>
        <w:rPr>
          <w:rFonts w:ascii="Arial" w:hAnsi="Arial" w:cs="Arial"/>
          <w:b/>
          <w:bCs/>
          <w:color w:val="231F20"/>
          <w:sz w:val="12"/>
          <w:szCs w:val="12"/>
        </w:rPr>
      </w:pPr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Les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tubes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subminiatures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Raytheon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5703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sont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montés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sur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un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support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2"/>
          <w:szCs w:val="12"/>
        </w:rPr>
        <w:t>isolant</w:t>
      </w:r>
      <w:proofErr w:type="spellEnd"/>
      <w:r>
        <w:rPr>
          <w:rFonts w:ascii="Arial" w:hAnsi="Arial" w:cs="Arial"/>
          <w:b/>
          <w:bCs/>
          <w:color w:val="231F20"/>
          <w:sz w:val="12"/>
          <w:szCs w:val="12"/>
        </w:rPr>
        <w:t xml:space="preserve"> fixe</w:t>
      </w:r>
      <w:r w:rsidR="00EF5E8D">
        <w:rPr>
          <w:rFonts w:ascii="Arial" w:hAnsi="Arial" w:cs="Arial"/>
          <w:b/>
          <w:bCs/>
          <w:color w:val="231F20"/>
          <w:sz w:val="12"/>
          <w:szCs w:val="12"/>
        </w:rPr>
        <w:t>.</w:t>
      </w:r>
    </w:p>
    <w:p w:rsidR="00EF5E8D" w:rsidRDefault="00EF5E8D" w:rsidP="00EF5E8D">
      <w:pPr>
        <w:autoSpaceDE w:val="0"/>
        <w:autoSpaceDN w:val="0"/>
        <w:adjustRightInd w:val="0"/>
        <w:ind w:left="3686" w:right="567"/>
        <w:jc w:val="left"/>
        <w:rPr>
          <w:rFonts w:ascii="Arial" w:hAnsi="Arial" w:cs="Arial"/>
          <w:b/>
          <w:bCs/>
          <w:color w:val="231F20"/>
          <w:sz w:val="12"/>
          <w:szCs w:val="12"/>
        </w:rPr>
      </w:pPr>
    </w:p>
    <w:p w:rsidR="00EF5E8D" w:rsidRDefault="00EF5E8D" w:rsidP="00EF5E8D">
      <w:pPr>
        <w:autoSpaceDE w:val="0"/>
        <w:autoSpaceDN w:val="0"/>
        <w:adjustRightInd w:val="0"/>
        <w:ind w:left="3686" w:right="567"/>
        <w:jc w:val="left"/>
        <w:rPr>
          <w:rFonts w:ascii="Arial" w:hAnsi="Arial" w:cs="Arial"/>
          <w:b/>
          <w:bCs/>
          <w:color w:val="231F20"/>
          <w:sz w:val="12"/>
          <w:szCs w:val="12"/>
        </w:rPr>
        <w:sectPr w:rsidR="00EF5E8D" w:rsidSect="00EF5E8D">
          <w:type w:val="continuous"/>
          <w:pgSz w:w="11906" w:h="16838"/>
          <w:pgMar w:top="284" w:right="284" w:bottom="284" w:left="284" w:header="708" w:footer="708" w:gutter="0"/>
          <w:cols w:num="3" w:space="284" w:equalWidth="0">
            <w:col w:w="1418" w:space="284"/>
            <w:col w:w="1558" w:space="142"/>
            <w:col w:w="7936"/>
          </w:cols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36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D57B80" w:rsidTr="00C30EF2">
        <w:trPr>
          <w:cantSplit/>
          <w:trHeight w:val="16146"/>
        </w:trPr>
        <w:tc>
          <w:tcPr>
            <w:tcW w:w="1558" w:type="dxa"/>
            <w:shd w:val="clear" w:color="auto" w:fill="A6A6A6" w:themeFill="background1" w:themeFillShade="A6"/>
            <w:textDirection w:val="btLr"/>
          </w:tcPr>
          <w:p w:rsidR="00D57B80" w:rsidRDefault="00922788" w:rsidP="00922788">
            <w:pPr>
              <w:ind w:left="113" w:right="113"/>
            </w:pPr>
            <w:r>
              <w:rPr>
                <w:rFonts w:ascii="Segoe UI" w:hAnsi="Segoe UI" w:cs="Segoe UI"/>
              </w:rPr>
              <w:lastRenderedPageBreak/>
              <w:t xml:space="preserve">                 </w:t>
            </w:r>
            <w:r w:rsidRPr="006F1C72">
              <w:rPr>
                <w:rFonts w:ascii="Segoe UI" w:hAnsi="Segoe UI" w:cs="Segoe UI"/>
                <w:color w:val="FFFFFF" w:themeColor="background1"/>
                <w:spacing w:val="60"/>
                <w:sz w:val="96"/>
                <w:szCs w:val="96"/>
              </w:rPr>
              <w:t>Termék adatlap</w:t>
            </w:r>
          </w:p>
        </w:tc>
      </w:tr>
    </w:tbl>
    <w:p w:rsidR="00D57B80" w:rsidRDefault="008503D5" w:rsidP="00C30EF2">
      <w:pPr>
        <w:spacing w:after="240"/>
        <w:jc w:val="right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1693</wp:posOffset>
            </wp:positionV>
            <wp:extent cx="4014470" cy="1663700"/>
            <wp:effectExtent l="19050" t="0" r="5080" b="0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F2" w:rsidRPr="00C30EF2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-1273598</wp:posOffset>
            </wp:positionH>
            <wp:positionV relativeFrom="paragraph">
              <wp:posOffset>9818793</wp:posOffset>
            </wp:positionV>
            <wp:extent cx="840316" cy="266700"/>
            <wp:effectExtent l="19050" t="0" r="0" b="0"/>
            <wp:wrapNone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16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E3E" w:rsidRDefault="00375E3E" w:rsidP="00375E3E">
      <w:pPr>
        <w:autoSpaceDE w:val="0"/>
        <w:autoSpaceDN w:val="0"/>
        <w:adjustRightInd w:val="0"/>
        <w:spacing w:before="240"/>
        <w:ind w:left="709" w:firstLine="3827"/>
        <w:rPr>
          <w:rFonts w:ascii="Calibri Light" w:hAnsi="Calibri Light" w:cs="Calibri Light"/>
          <w:color w:val="FFFFFF" w:themeColor="background1"/>
        </w:rPr>
      </w:pPr>
    </w:p>
    <w:p w:rsidR="00375E3E" w:rsidRPr="008503D5" w:rsidRDefault="008503D5" w:rsidP="008503D5">
      <w:pPr>
        <w:tabs>
          <w:tab w:val="left" w:pos="8931"/>
        </w:tabs>
        <w:autoSpaceDE w:val="0"/>
        <w:autoSpaceDN w:val="0"/>
        <w:adjustRightInd w:val="0"/>
        <w:spacing w:before="480"/>
        <w:ind w:left="709" w:right="561" w:firstLine="3119"/>
        <w:jc w:val="right"/>
        <w:rPr>
          <w:rFonts w:ascii="Calibri Light" w:hAnsi="Calibri Light" w:cs="Calibri Light"/>
          <w:color w:val="FFFFFF" w:themeColor="background1"/>
          <w:sz w:val="48"/>
          <w:szCs w:val="48"/>
        </w:rPr>
      </w:pPr>
      <w:r w:rsidRPr="008503D5">
        <w:rPr>
          <w:rFonts w:ascii="Calibri Light" w:hAnsi="Calibri Light" w:cs="Calibri Light"/>
          <w:color w:val="FFFFFF" w:themeColor="background1"/>
          <w:sz w:val="48"/>
          <w:szCs w:val="48"/>
        </w:rPr>
        <w:t>MŰSZAKI ADATOK</w:t>
      </w:r>
    </w:p>
    <w:p w:rsidR="008503D5" w:rsidRDefault="00ED27ED" w:rsidP="008503D5">
      <w:pPr>
        <w:autoSpaceDE w:val="0"/>
        <w:autoSpaceDN w:val="0"/>
        <w:adjustRightInd w:val="0"/>
        <w:spacing w:before="1400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B67D85"/>
        </w:rPr>
        <w:t>L’ART DU STREAMING</w:t>
      </w:r>
    </w:p>
    <w:p w:rsidR="008503D5" w:rsidRDefault="00ED27ED" w:rsidP="00ED27ED">
      <w:pPr>
        <w:autoSpaceDE w:val="0"/>
        <w:autoSpaceDN w:val="0"/>
        <w:adjustRightInd w:val="0"/>
        <w:ind w:left="1134" w:right="564" w:firstLine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défi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n’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était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pas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facile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nous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voulions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lire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musique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dématérialisée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la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plus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musicale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possible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. En fait,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oubliez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son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que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nous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avons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jugé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trop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numérique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pour un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son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plus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analogique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, plus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dans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l’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esprit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du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vinyle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8503D5" w:rsidRDefault="00ED27ED" w:rsidP="00165AAA">
      <w:pPr>
        <w:autoSpaceDE w:val="0"/>
        <w:autoSpaceDN w:val="0"/>
        <w:adjustRightInd w:val="0"/>
        <w:spacing w:before="120" w:after="120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231F20"/>
          <w:sz w:val="16"/>
          <w:szCs w:val="16"/>
        </w:rPr>
        <w:t>Atteindre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résultat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nous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semblé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possible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combinant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plusieurs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technologies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et design.</w:t>
      </w:r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C’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est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que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nous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avons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fait !</w:t>
      </w:r>
      <w:proofErr w:type="gramEnd"/>
    </w:p>
    <w:p w:rsidR="008503D5" w:rsidRDefault="00305A7C" w:rsidP="00E53696">
      <w:pPr>
        <w:autoSpaceDE w:val="0"/>
        <w:autoSpaceDN w:val="0"/>
        <w:adjustRightInd w:val="0"/>
        <w:ind w:left="1985" w:right="422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noProof/>
          <w:color w:val="231F20"/>
          <w:sz w:val="16"/>
          <w:szCs w:val="16"/>
          <w:lang w:eastAsia="hu-H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724534</wp:posOffset>
            </wp:positionH>
            <wp:positionV relativeFrom="paragraph">
              <wp:posOffset>40640</wp:posOffset>
            </wp:positionV>
            <wp:extent cx="522394" cy="728133"/>
            <wp:effectExtent l="19050" t="0" r="0" b="0"/>
            <wp:wrapNone/>
            <wp:docPr id="1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4" cy="72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Utilisation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paire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de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tubes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subminiatures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Raytheon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5703,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conception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Class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>’</w:t>
      </w:r>
      <w:proofErr w:type="gramStart"/>
      <w:r w:rsidR="00E53696">
        <w:rPr>
          <w:rFonts w:ascii="Arial" w:hAnsi="Arial" w:cs="Arial"/>
          <w:color w:val="231F20"/>
          <w:sz w:val="16"/>
          <w:szCs w:val="16"/>
        </w:rPr>
        <w:t>A</w:t>
      </w:r>
      <w:proofErr w:type="gramEnd"/>
      <w:r w:rsidR="00E53696">
        <w:rPr>
          <w:rFonts w:ascii="Arial" w:hAnsi="Arial" w:cs="Arial"/>
          <w:color w:val="231F20"/>
          <w:sz w:val="16"/>
          <w:szCs w:val="16"/>
        </w:rPr>
        <w:t>, l’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intégration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processeur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Tri-core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,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combinaison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DualCore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32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bits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et d’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120Mhz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Single-Core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avec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un DAC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indépendant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Wolfson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WM8740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,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24-Bit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/ 192 kHz et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enfin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l’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intégration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d’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un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codec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haute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définition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permettant de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restituer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les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moindres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détails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de la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musique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>.</w:t>
      </w:r>
    </w:p>
    <w:p w:rsidR="00E53696" w:rsidRDefault="00305A7C" w:rsidP="00305A7C">
      <w:pPr>
        <w:autoSpaceDE w:val="0"/>
        <w:autoSpaceDN w:val="0"/>
        <w:adjustRightInd w:val="0"/>
        <w:spacing w:before="480"/>
        <w:ind w:left="1134" w:right="5954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noProof/>
          <w:color w:val="231F20"/>
          <w:sz w:val="16"/>
          <w:szCs w:val="16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251248</wp:posOffset>
            </wp:positionV>
            <wp:extent cx="2853266" cy="1447800"/>
            <wp:effectExtent l="19050" t="0" r="4234" b="0"/>
            <wp:wrapNone/>
            <wp:docPr id="1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96">
        <w:rPr>
          <w:rFonts w:ascii="Arial" w:hAnsi="Arial" w:cs="Arial"/>
          <w:color w:val="231F20"/>
          <w:sz w:val="16"/>
          <w:szCs w:val="16"/>
        </w:rPr>
        <w:t xml:space="preserve">La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restitution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sonore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qui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en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résulte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est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époustouflante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respectant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les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exigences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r w:rsidR="00E53696">
        <w:rPr>
          <w:rFonts w:ascii="Arial" w:hAnsi="Arial" w:cs="Arial"/>
          <w:color w:val="231F20"/>
          <w:sz w:val="16"/>
          <w:szCs w:val="16"/>
        </w:rPr>
        <w:t>des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audiophiles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r w:rsidR="00E53696">
        <w:rPr>
          <w:rFonts w:ascii="Arial" w:hAnsi="Arial" w:cs="Arial"/>
          <w:color w:val="231F20"/>
          <w:sz w:val="16"/>
          <w:szCs w:val="16"/>
        </w:rPr>
        <w:t xml:space="preserve">et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rappelant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r w:rsidR="00E53696">
        <w:rPr>
          <w:rFonts w:ascii="Arial" w:hAnsi="Arial" w:cs="Arial"/>
          <w:color w:val="231F20"/>
          <w:sz w:val="16"/>
          <w:szCs w:val="16"/>
        </w:rPr>
        <w:t xml:space="preserve">la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musicalité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chaleureuse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chere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aux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amateurs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 xml:space="preserve"> de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="00E53696">
        <w:rPr>
          <w:rFonts w:ascii="Arial" w:hAnsi="Arial" w:cs="Arial"/>
          <w:color w:val="231F20"/>
          <w:sz w:val="16"/>
          <w:szCs w:val="16"/>
        </w:rPr>
        <w:t>vinyles</w:t>
      </w:r>
      <w:proofErr w:type="spellEnd"/>
      <w:r w:rsidR="00E53696">
        <w:rPr>
          <w:rFonts w:ascii="Arial" w:hAnsi="Arial" w:cs="Arial"/>
          <w:color w:val="231F20"/>
          <w:sz w:val="16"/>
          <w:szCs w:val="16"/>
        </w:rPr>
        <w:t>.</w:t>
      </w:r>
    </w:p>
    <w:p w:rsidR="00E53696" w:rsidRDefault="00E53696" w:rsidP="00305A7C">
      <w:pPr>
        <w:autoSpaceDE w:val="0"/>
        <w:autoSpaceDN w:val="0"/>
        <w:adjustRightInd w:val="0"/>
        <w:ind w:left="1134" w:right="5951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Les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fichiers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HD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passent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facilement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WTX-TUBES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et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deviennent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plus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précis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et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équilibrés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grâce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l’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intégration</w:t>
      </w:r>
      <w:proofErr w:type="spellEnd"/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du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codec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aptX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HD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8503D5" w:rsidRDefault="00E53696" w:rsidP="00305A7C">
      <w:pPr>
        <w:autoSpaceDE w:val="0"/>
        <w:autoSpaceDN w:val="0"/>
        <w:adjustRightInd w:val="0"/>
        <w:spacing w:after="2000"/>
        <w:ind w:left="1134" w:right="5954"/>
        <w:jc w:val="left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 w:rsidR="00305A7C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découvrir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au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plus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vite</w:t>
      </w:r>
      <w:proofErr w:type="spellEnd"/>
      <w:r>
        <w:rPr>
          <w:rFonts w:ascii="Arial" w:hAnsi="Arial" w:cs="Arial"/>
          <w:color w:val="231F20"/>
          <w:sz w:val="16"/>
          <w:szCs w:val="16"/>
        </w:rPr>
        <w:t>!</w:t>
      </w:r>
    </w:p>
    <w:tbl>
      <w:tblPr>
        <w:tblStyle w:val="Rcsostblzat"/>
        <w:tblW w:w="652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835"/>
      </w:tblGrid>
      <w:tr w:rsidR="00223B3C" w:rsidTr="00223B3C">
        <w:tc>
          <w:tcPr>
            <w:tcW w:w="3685" w:type="dxa"/>
            <w:gridSpan w:val="2"/>
          </w:tcPr>
          <w:p w:rsidR="00223B3C" w:rsidRPr="00223B3C" w:rsidRDefault="00165AAA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KÉSZÜLÉK MŰSZAKI ADATAI</w:t>
            </w:r>
          </w:p>
        </w:tc>
        <w:tc>
          <w:tcPr>
            <w:tcW w:w="2835" w:type="dxa"/>
          </w:tcPr>
          <w:p w:rsidR="00223B3C" w:rsidRPr="00223B3C" w:rsidRDefault="00223B3C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B3C" w:rsidTr="00223B3C">
        <w:tc>
          <w:tcPr>
            <w:tcW w:w="1701" w:type="dxa"/>
          </w:tcPr>
          <w:p w:rsidR="00223B3C" w:rsidRPr="003F28C6" w:rsidRDefault="00165AAA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>Felépítése:</w:t>
            </w:r>
          </w:p>
        </w:tc>
        <w:tc>
          <w:tcPr>
            <w:tcW w:w="1984" w:type="dxa"/>
          </w:tcPr>
          <w:p w:rsidR="00223B3C" w:rsidRPr="00223B3C" w:rsidRDefault="00165AAA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QCC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Wolfson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Raytheon</w:t>
            </w:r>
            <w:proofErr w:type="spellEnd"/>
          </w:p>
        </w:tc>
        <w:tc>
          <w:tcPr>
            <w:tcW w:w="2835" w:type="dxa"/>
          </w:tcPr>
          <w:p w:rsidR="00223B3C" w:rsidRPr="00223B3C" w:rsidRDefault="00223B3C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>BT: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2835" w:type="dxa"/>
            <w:vMerge w:val="restart"/>
          </w:tcPr>
          <w:p w:rsidR="003F28C6" w:rsidRDefault="003F28C6" w:rsidP="003F28C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b/>
                <w:bCs/>
                <w:color w:val="918F8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918F8F"/>
                <w:sz w:val="14"/>
                <w:szCs w:val="14"/>
              </w:rPr>
              <w:t>INFORMÁCIÓ</w:t>
            </w:r>
          </w:p>
          <w:p w:rsidR="003F28C6" w:rsidRDefault="003F28C6" w:rsidP="003F28C6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color w:val="231F20"/>
                <w:sz w:val="14"/>
                <w:szCs w:val="14"/>
              </w:rPr>
            </w:pPr>
            <w:proofErr w:type="spellStart"/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>Tipusa</w:t>
            </w:r>
            <w:proofErr w:type="spellEnd"/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>WTX-TUBES</w:t>
            </w:r>
            <w:proofErr w:type="spellEnd"/>
          </w:p>
          <w:p w:rsidR="003F28C6" w:rsidRDefault="003F28C6" w:rsidP="003F28C6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color w:val="231F2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>EAN kódja: 3760179292022</w:t>
            </w:r>
          </w:p>
          <w:p w:rsidR="003F28C6" w:rsidRDefault="003F28C6" w:rsidP="003F28C6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color w:val="231F2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>A doboz mérete: 255 x 180 x 60 mm</w:t>
            </w:r>
          </w:p>
          <w:p w:rsidR="003F28C6" w:rsidRDefault="003F28C6" w:rsidP="003F28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z w:val="14"/>
                <w:szCs w:val="14"/>
              </w:rPr>
              <w:t xml:space="preserve">Tömege: 0,9 kg </w:t>
            </w:r>
          </w:p>
          <w:p w:rsidR="003F28C6" w:rsidRPr="00223B3C" w:rsidRDefault="003F28C6" w:rsidP="003F28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Európai bruttó fogyasztói ára: 349 €</w:t>
            </w: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28C6">
              <w:rPr>
                <w:rFonts w:ascii="Arial" w:hAnsi="Arial" w:cs="Arial"/>
                <w:b/>
                <w:sz w:val="16"/>
                <w:szCs w:val="16"/>
              </w:rPr>
              <w:t>Kodekek</w:t>
            </w:r>
            <w:proofErr w:type="spellEnd"/>
            <w:r w:rsidRPr="003F28C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SBC</w:t>
            </w:r>
          </w:p>
        </w:tc>
        <w:tc>
          <w:tcPr>
            <w:tcW w:w="2835" w:type="dxa"/>
            <w:vMerge/>
          </w:tcPr>
          <w:p w:rsidR="003F28C6" w:rsidRPr="00223B3C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>DAC: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WM8740 24 bit/192 kHz</w:t>
            </w:r>
          </w:p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Dinamikatartománya: 117 dB</w:t>
            </w:r>
          </w:p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Alacsony digitális időalap torzulás</w:t>
            </w:r>
          </w:p>
        </w:tc>
        <w:tc>
          <w:tcPr>
            <w:tcW w:w="2835" w:type="dxa"/>
            <w:vMerge/>
          </w:tcPr>
          <w:p w:rsidR="003F28C6" w:rsidRPr="00223B3C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>Elektroncsövek: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db.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Raytheon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5703</w:t>
            </w:r>
          </w:p>
        </w:tc>
        <w:tc>
          <w:tcPr>
            <w:tcW w:w="2835" w:type="dxa"/>
            <w:vMerge/>
          </w:tcPr>
          <w:p w:rsidR="003F28C6" w:rsidRPr="00223B3C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 xml:space="preserve">Három magos </w:t>
            </w:r>
            <w:proofErr w:type="spellStart"/>
            <w:r w:rsidRPr="003F28C6">
              <w:rPr>
                <w:rFonts w:ascii="Arial" w:hAnsi="Arial" w:cs="Arial"/>
                <w:b/>
                <w:sz w:val="16"/>
                <w:szCs w:val="16"/>
              </w:rPr>
              <w:t>pro-cesszor</w:t>
            </w:r>
            <w:proofErr w:type="spellEnd"/>
            <w:r w:rsidRPr="003F28C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Kétmagos 32 bites,</w:t>
            </w:r>
          </w:p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egymagos 120 MHz-es</w:t>
            </w:r>
          </w:p>
        </w:tc>
        <w:tc>
          <w:tcPr>
            <w:tcW w:w="2835" w:type="dxa"/>
            <w:vMerge/>
          </w:tcPr>
          <w:p w:rsidR="003F28C6" w:rsidRPr="00223B3C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8C6" w:rsidTr="00223B3C">
        <w:tc>
          <w:tcPr>
            <w:tcW w:w="1701" w:type="dxa"/>
          </w:tcPr>
          <w:p w:rsidR="003F28C6" w:rsidRP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F28C6">
              <w:rPr>
                <w:rFonts w:ascii="Arial" w:hAnsi="Arial" w:cs="Arial"/>
                <w:b/>
                <w:sz w:val="16"/>
                <w:szCs w:val="16"/>
              </w:rPr>
              <w:t>Mérete:</w:t>
            </w:r>
          </w:p>
        </w:tc>
        <w:tc>
          <w:tcPr>
            <w:tcW w:w="1984" w:type="dxa"/>
          </w:tcPr>
          <w:p w:rsidR="003F28C6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mm széles x 110 mm mély x 42 mm magas</w:t>
            </w:r>
          </w:p>
        </w:tc>
        <w:tc>
          <w:tcPr>
            <w:tcW w:w="2835" w:type="dxa"/>
            <w:vMerge/>
          </w:tcPr>
          <w:p w:rsidR="003F28C6" w:rsidRPr="00223B3C" w:rsidRDefault="003F28C6" w:rsidP="00305A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24A" w:rsidRPr="00E944D4" w:rsidRDefault="0001324A" w:rsidP="0001324A">
      <w:pPr>
        <w:autoSpaceDE w:val="0"/>
        <w:autoSpaceDN w:val="0"/>
        <w:adjustRightInd w:val="0"/>
        <w:spacing w:before="1400"/>
        <w:ind w:left="284" w:right="11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Az </w:t>
      </w:r>
      <w:proofErr w:type="spellStart"/>
      <w:r>
        <w:rPr>
          <w:rFonts w:ascii="Arial" w:hAnsi="Arial" w:cs="Arial"/>
          <w:b/>
          <w:sz w:val="20"/>
          <w:szCs w:val="20"/>
        </w:rPr>
        <w:t>Advance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Paris termékeket </w:t>
      </w:r>
      <w:r w:rsidRPr="00E944D4">
        <w:rPr>
          <w:rFonts w:ascii="Arial" w:hAnsi="Arial" w:cs="Arial"/>
          <w:b/>
          <w:sz w:val="20"/>
          <w:szCs w:val="20"/>
        </w:rPr>
        <w:t>Magyarországon kizárólagos jelleggel forgalmazza:</w:t>
      </w:r>
    </w:p>
    <w:p w:rsidR="0001324A" w:rsidRPr="00E944D4" w:rsidRDefault="0001324A" w:rsidP="0001324A">
      <w:pPr>
        <w:spacing w:before="120"/>
        <w:jc w:val="center"/>
        <w:rPr>
          <w:rFonts w:ascii="ZH-MediumItalic-Italic" w:hAnsi="ZH-MediumItalic-Italic" w:cs="ZH-MediumItalic-Italic"/>
          <w:i/>
          <w:iCs/>
          <w:sz w:val="18"/>
          <w:szCs w:val="18"/>
        </w:rPr>
      </w:pPr>
      <w:proofErr w:type="spellStart"/>
      <w:r w:rsidRPr="00E944D4">
        <w:rPr>
          <w:rFonts w:ascii="ZH-MediumItalic-Italic" w:hAnsi="ZH-MediumItalic-Italic" w:cs="ZH-MediumItalic-Italic"/>
          <w:b/>
          <w:i/>
          <w:iCs/>
          <w:sz w:val="18"/>
          <w:szCs w:val="18"/>
        </w:rPr>
        <w:t>Limar</w:t>
      </w:r>
      <w:proofErr w:type="spellEnd"/>
      <w:r w:rsidRPr="00E944D4">
        <w:rPr>
          <w:rFonts w:ascii="ZH-MediumItalic-Italic" w:hAnsi="ZH-MediumItalic-Italic" w:cs="ZH-MediumItalic-Italic"/>
          <w:b/>
          <w:i/>
          <w:iCs/>
          <w:sz w:val="18"/>
          <w:szCs w:val="18"/>
        </w:rPr>
        <w:t xml:space="preserve"> </w:t>
      </w:r>
      <w:proofErr w:type="spellStart"/>
      <w:r w:rsidRPr="00E944D4">
        <w:rPr>
          <w:rFonts w:ascii="ZH-MediumItalic-Italic" w:hAnsi="ZH-MediumItalic-Italic" w:cs="ZH-MediumItalic-Italic"/>
          <w:b/>
          <w:i/>
          <w:iCs/>
          <w:sz w:val="18"/>
          <w:szCs w:val="18"/>
        </w:rPr>
        <w:t>Audio</w:t>
      </w:r>
      <w:proofErr w:type="spellEnd"/>
      <w:r w:rsidRPr="00E944D4">
        <w:rPr>
          <w:rFonts w:ascii="ZH-MediumItalic-Italic" w:hAnsi="ZH-MediumItalic-Italic" w:cs="ZH-MediumItalic-Italic"/>
          <w:b/>
          <w:i/>
          <w:iCs/>
          <w:sz w:val="18"/>
          <w:szCs w:val="18"/>
        </w:rPr>
        <w:t xml:space="preserve"> Kft.</w:t>
      </w:r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 xml:space="preserve"> 1137 Budapest, Szent István krt. 12. I. em. 4/</w:t>
      </w:r>
      <w:proofErr w:type="gramStart"/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>a</w:t>
      </w:r>
      <w:r>
        <w:rPr>
          <w:rFonts w:ascii="ZH-MediumItalic-Italic" w:hAnsi="ZH-MediumItalic-Italic" w:cs="ZH-MediumItalic-Italic"/>
          <w:i/>
          <w:iCs/>
          <w:sz w:val="18"/>
          <w:szCs w:val="18"/>
        </w:rPr>
        <w:t>.</w:t>
      </w:r>
      <w:proofErr w:type="gramEnd"/>
    </w:p>
    <w:p w:rsidR="0001324A" w:rsidRDefault="0001324A" w:rsidP="0001324A">
      <w:pPr>
        <w:autoSpaceDE w:val="0"/>
        <w:autoSpaceDN w:val="0"/>
        <w:adjustRightInd w:val="0"/>
        <w:spacing w:after="720"/>
        <w:ind w:right="-6"/>
        <w:jc w:val="left"/>
        <w:rPr>
          <w:rFonts w:ascii="Arial" w:hAnsi="Arial" w:cs="Arial"/>
          <w:i/>
          <w:iCs/>
          <w:color w:val="231F20"/>
          <w:sz w:val="14"/>
          <w:szCs w:val="14"/>
        </w:rPr>
      </w:pPr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>Telefon: (+36-1) 359-3136, (+36-1) 329-2980</w:t>
      </w:r>
      <w:r>
        <w:rPr>
          <w:rFonts w:ascii="ZH-MediumItalic-Italic" w:hAnsi="ZH-MediumItalic-Italic" w:cs="ZH-MediumItalic-Italic"/>
          <w:i/>
          <w:iCs/>
          <w:sz w:val="18"/>
          <w:szCs w:val="18"/>
        </w:rPr>
        <w:t xml:space="preserve">, </w:t>
      </w:r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>Fax: (+36-1) 359-3137</w:t>
      </w:r>
      <w:r>
        <w:rPr>
          <w:rFonts w:ascii="ZH-MediumItalic-Italic" w:hAnsi="ZH-MediumItalic-Italic" w:cs="ZH-MediumItalic-Italic"/>
          <w:i/>
          <w:iCs/>
          <w:sz w:val="18"/>
          <w:szCs w:val="18"/>
        </w:rPr>
        <w:t xml:space="preserve">, </w:t>
      </w:r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>E-mail:</w:t>
      </w:r>
      <w:r w:rsidRPr="00E944D4">
        <w:rPr>
          <w:sz w:val="18"/>
          <w:szCs w:val="18"/>
        </w:rPr>
        <w:t xml:space="preserve"> </w:t>
      </w:r>
      <w:r w:rsidRPr="00E944D4">
        <w:rPr>
          <w:rFonts w:ascii="ZH-MediumItalic-Italic" w:hAnsi="ZH-MediumItalic-Italic" w:cs="ZH-MediumItalic-Italic"/>
          <w:i/>
          <w:iCs/>
          <w:sz w:val="18"/>
          <w:szCs w:val="18"/>
        </w:rPr>
        <w:t>jambor@limar.</w:t>
      </w:r>
      <w:r>
        <w:rPr>
          <w:rFonts w:ascii="ZH-MediumItalic-Italic" w:hAnsi="ZH-MediumItalic-Italic" w:cs="ZH-MediumItalic-Italic"/>
          <w:i/>
          <w:iCs/>
          <w:sz w:val="18"/>
          <w:szCs w:val="18"/>
        </w:rPr>
        <w:t>hu</w:t>
      </w:r>
    </w:p>
    <w:p w:rsidR="00D57B80" w:rsidRPr="0001324A" w:rsidRDefault="003F28C6" w:rsidP="0001324A">
      <w:pPr>
        <w:autoSpaceDE w:val="0"/>
        <w:autoSpaceDN w:val="0"/>
        <w:adjustRightInd w:val="0"/>
        <w:spacing w:after="240"/>
        <w:ind w:right="-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13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rue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du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coq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gaulois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- 77170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Brie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Comte Robert - France / Tel. +</w:t>
      </w:r>
      <w:proofErr w:type="gramStart"/>
      <w:r>
        <w:rPr>
          <w:rFonts w:ascii="Arial" w:hAnsi="Arial" w:cs="Arial"/>
          <w:i/>
          <w:iCs/>
          <w:color w:val="231F20"/>
          <w:sz w:val="14"/>
          <w:szCs w:val="14"/>
        </w:rPr>
        <w:t>33(</w:t>
      </w:r>
      <w:proofErr w:type="gram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0)160185900 /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info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>@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advanceparis.com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/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www.advanceparis.co</w:t>
      </w:r>
      <w:proofErr w:type="spellEnd"/>
    </w:p>
    <w:sectPr w:rsidR="00D57B80" w:rsidRPr="0001324A" w:rsidSect="00E555FF">
      <w:type w:val="continuous"/>
      <w:pgSz w:w="11906" w:h="16838"/>
      <w:pgMar w:top="284" w:right="284" w:bottom="284" w:left="284" w:header="708" w:footer="708" w:gutter="0"/>
      <w:cols w:num="2" w:space="284" w:equalWidth="0">
        <w:col w:w="1701" w:space="284"/>
        <w:col w:w="9353" w:space="2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H-MediumItali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8"/>
    <w:rsid w:val="00013044"/>
    <w:rsid w:val="0001324A"/>
    <w:rsid w:val="0002437C"/>
    <w:rsid w:val="0002794A"/>
    <w:rsid w:val="00053A40"/>
    <w:rsid w:val="0008548F"/>
    <w:rsid w:val="000903FF"/>
    <w:rsid w:val="000F51AC"/>
    <w:rsid w:val="00143D4B"/>
    <w:rsid w:val="00165AAA"/>
    <w:rsid w:val="001A2CC4"/>
    <w:rsid w:val="00205CE1"/>
    <w:rsid w:val="00211C40"/>
    <w:rsid w:val="00223B3C"/>
    <w:rsid w:val="0026062F"/>
    <w:rsid w:val="00264126"/>
    <w:rsid w:val="002953B0"/>
    <w:rsid w:val="002C72C9"/>
    <w:rsid w:val="002D0E46"/>
    <w:rsid w:val="002E13A5"/>
    <w:rsid w:val="002E306F"/>
    <w:rsid w:val="00305A7C"/>
    <w:rsid w:val="00306F52"/>
    <w:rsid w:val="00311757"/>
    <w:rsid w:val="003627FB"/>
    <w:rsid w:val="00375E3E"/>
    <w:rsid w:val="00385FF5"/>
    <w:rsid w:val="003A1627"/>
    <w:rsid w:val="003B4B4E"/>
    <w:rsid w:val="003F28C6"/>
    <w:rsid w:val="00435B13"/>
    <w:rsid w:val="004461DD"/>
    <w:rsid w:val="004617E4"/>
    <w:rsid w:val="00476DA3"/>
    <w:rsid w:val="004D1DE7"/>
    <w:rsid w:val="00520A4C"/>
    <w:rsid w:val="00557879"/>
    <w:rsid w:val="005A1685"/>
    <w:rsid w:val="005C48B3"/>
    <w:rsid w:val="00646ADA"/>
    <w:rsid w:val="00651CB7"/>
    <w:rsid w:val="006A1DB3"/>
    <w:rsid w:val="006F1C72"/>
    <w:rsid w:val="00744740"/>
    <w:rsid w:val="00794C13"/>
    <w:rsid w:val="007B2852"/>
    <w:rsid w:val="00822448"/>
    <w:rsid w:val="008503D5"/>
    <w:rsid w:val="008C1DCB"/>
    <w:rsid w:val="008C7C98"/>
    <w:rsid w:val="00902EB2"/>
    <w:rsid w:val="00922788"/>
    <w:rsid w:val="0093196E"/>
    <w:rsid w:val="00970DE1"/>
    <w:rsid w:val="009B156B"/>
    <w:rsid w:val="00A21C78"/>
    <w:rsid w:val="00A26FD9"/>
    <w:rsid w:val="00A36282"/>
    <w:rsid w:val="00B57C18"/>
    <w:rsid w:val="00BE5749"/>
    <w:rsid w:val="00C05B6D"/>
    <w:rsid w:val="00C30EF2"/>
    <w:rsid w:val="00C40497"/>
    <w:rsid w:val="00C95A14"/>
    <w:rsid w:val="00CA6249"/>
    <w:rsid w:val="00CB6D7C"/>
    <w:rsid w:val="00CC68F0"/>
    <w:rsid w:val="00D14CEC"/>
    <w:rsid w:val="00D359F2"/>
    <w:rsid w:val="00D43317"/>
    <w:rsid w:val="00D57B80"/>
    <w:rsid w:val="00D615B4"/>
    <w:rsid w:val="00E35B4A"/>
    <w:rsid w:val="00E47427"/>
    <w:rsid w:val="00E53696"/>
    <w:rsid w:val="00E555FF"/>
    <w:rsid w:val="00E72EFB"/>
    <w:rsid w:val="00E74118"/>
    <w:rsid w:val="00EB765D"/>
    <w:rsid w:val="00EC53C0"/>
    <w:rsid w:val="00ED27ED"/>
    <w:rsid w:val="00EF5E8D"/>
    <w:rsid w:val="00F00122"/>
    <w:rsid w:val="00F32A82"/>
    <w:rsid w:val="00F43F7C"/>
    <w:rsid w:val="00F85F16"/>
    <w:rsid w:val="00F92FFD"/>
    <w:rsid w:val="00FA6032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2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2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0AAE-177A-4A17-93C7-7BAF428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 VAIO</cp:lastModifiedBy>
  <cp:revision>2</cp:revision>
  <dcterms:created xsi:type="dcterms:W3CDTF">2021-01-11T14:46:00Z</dcterms:created>
  <dcterms:modified xsi:type="dcterms:W3CDTF">2021-01-11T14:46:00Z</dcterms:modified>
</cp:coreProperties>
</file>